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Technically Speaking 10-8-14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Faculty friends,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Memes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 are looking for a conversation starter, you might think of sharing an internet-style meme with your class. 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could also have students create </w:t>
      </w:r>
      <w:proofErr w:type="gramStart"/>
      <w:r>
        <w:rPr>
          <w:rFonts w:ascii="Calibri" w:hAnsi="Calibri" w:cs="Calibri"/>
          <w:sz w:val="28"/>
          <w:szCs w:val="28"/>
        </w:rPr>
        <w:t>their own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can use this site </w:t>
      </w:r>
      <w:hyperlink r:id="rId5" w:history="1">
        <w:r>
          <w:rPr>
            <w:rFonts w:ascii="Calibri" w:hAnsi="Calibri" w:cs="Calibri"/>
            <w:color w:val="0000E9"/>
            <w:sz w:val="26"/>
            <w:szCs w:val="26"/>
            <w:u w:val="single" w:color="0000E9"/>
          </w:rPr>
          <w:t>http://memegenerator.net</w:t>
        </w:r>
      </w:hyperlink>
      <w:r>
        <w:rPr>
          <w:rFonts w:ascii="Calibri" w:hAnsi="Calibri" w:cs="Calibri"/>
          <w:sz w:val="28"/>
          <w:szCs w:val="28"/>
        </w:rPr>
        <w:t> to look for examples or make your own like the one below:</w:t>
      </w:r>
    </w:p>
    <w:p w:rsidR="00AB68BE" w:rsidRDefault="00AB68BE" w:rsidP="00AB68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939925" cy="195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Infographic</w:t>
      </w:r>
      <w:proofErr w:type="spellEnd"/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 had mentioned that if you or your students are interested in creating drag-and-drop info graphics, </w:t>
      </w:r>
      <w:hyperlink r:id="rId7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www.easel.ly</w:t>
        </w:r>
      </w:hyperlink>
      <w:r>
        <w:rPr>
          <w:rFonts w:ascii="Calibri" w:hAnsi="Calibri" w:cs="Calibri"/>
          <w:sz w:val="28"/>
          <w:szCs w:val="28"/>
        </w:rPr>
        <w:t> is a pretty good place to start.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They also have recently added some </w:t>
      </w:r>
      <w:hyperlink r:id="rId8" w:history="1">
        <w:r>
          <w:rPr>
            <w:rFonts w:ascii="Calibri" w:hAnsi="Calibri" w:cs="Calibri"/>
            <w:color w:val="0000E9"/>
            <w:sz w:val="26"/>
            <w:szCs w:val="26"/>
            <w:u w:val="single" w:color="0000E9"/>
          </w:rPr>
          <w:t>http://www.easel.ly/blog/new-feature-charts/</w:t>
        </w:r>
      </w:hyperlink>
      <w:r>
        <w:rPr>
          <w:rFonts w:ascii="Calibri" w:hAnsi="Calibri" w:cs="Calibri"/>
          <w:sz w:val="28"/>
          <w:szCs w:val="28"/>
        </w:rPr>
        <w:t>.</w:t>
      </w:r>
    </w:p>
    <w:p w:rsidR="00AB68BE" w:rsidRDefault="00AB68BE" w:rsidP="00AB68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350010" cy="1666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TurnItIn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 Student Success Week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lastRenderedPageBreak/>
        <w:t>TurnItIn</w:t>
      </w:r>
      <w:proofErr w:type="spellEnd"/>
      <w:r>
        <w:rPr>
          <w:rFonts w:ascii="Calibri" w:hAnsi="Calibri" w:cs="Calibri"/>
          <w:sz w:val="28"/>
          <w:szCs w:val="28"/>
        </w:rPr>
        <w:t xml:space="preserve"> has some free webinar resources that are available live or archived.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6"/>
          <w:szCs w:val="26"/>
        </w:rPr>
        <w:t xml:space="preserve">You </w:t>
      </w:r>
      <w:r>
        <w:rPr>
          <w:rFonts w:ascii="Calibri" w:hAnsi="Calibri" w:cs="Calibri"/>
          <w:sz w:val="28"/>
          <w:szCs w:val="28"/>
        </w:rPr>
        <w:t>can find a summary here </w:t>
      </w:r>
      <w:hyperlink r:id="rId10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http://turnitin.com/en_us/resources/student-success-week</w:t>
        </w:r>
      </w:hyperlink>
      <w:r>
        <w:rPr>
          <w:rFonts w:ascii="Calibri" w:hAnsi="Calibri" w:cs="Calibri"/>
          <w:sz w:val="28"/>
          <w:szCs w:val="28"/>
        </w:rPr>
        <w:t>.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W w:w="120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0"/>
      </w:tblGrid>
      <w:tr w:rsidR="00AB68BE">
        <w:tblPrEx>
          <w:tblCellMar>
            <w:top w:w="0" w:type="dxa"/>
            <w:bottom w:w="0" w:type="dxa"/>
          </w:tblCellMar>
        </w:tblPrEx>
        <w:tc>
          <w:tcPr>
            <w:tcW w:w="12000" w:type="dxa"/>
            <w:tcMar>
              <w:bottom w:w="400" w:type="nil"/>
            </w:tcMar>
          </w:tcPr>
          <w:p w:rsidR="00AB68BE" w:rsidRDefault="00AB6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3F3F3F"/>
                <w:sz w:val="28"/>
                <w:szCs w:val="28"/>
              </w:rPr>
              <w:t>October 6 </w:t>
            </w:r>
            <w:hyperlink r:id="rId11" w:history="1">
              <w:r>
                <w:rPr>
                  <w:rFonts w:ascii="Calibri" w:hAnsi="Calibri" w:cs="Calibri"/>
                  <w:i/>
                  <w:iCs/>
                  <w:color w:val="313131"/>
                  <w:sz w:val="28"/>
                  <w:szCs w:val="28"/>
                </w:rPr>
                <w:t>"The Wealth in Words": Vocabulary and Social Inequality</w:t>
              </w:r>
            </w:hyperlink>
          </w:p>
          <w:p w:rsidR="00AB68BE" w:rsidRDefault="00AB68B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libri" w:hAnsi="Calibri" w:cs="Calibri"/>
                <w:color w:val="3F3F3F"/>
                <w:sz w:val="28"/>
                <w:szCs w:val="28"/>
              </w:rPr>
              <w:t xml:space="preserve">Join us for this unique conversation with noted education reformer, E.D. Hirsch, Jr. as he shares with us his insights into the importance of content-based instruction and how the teaching of vocabulary can affect change in our educational </w:t>
            </w:r>
            <w:proofErr w:type="spellStart"/>
            <w:r>
              <w:rPr>
                <w:rFonts w:ascii="Calibri" w:hAnsi="Calibri" w:cs="Calibri"/>
                <w:color w:val="3F3F3F"/>
                <w:sz w:val="28"/>
                <w:szCs w:val="28"/>
              </w:rPr>
              <w:t>system.</w:t>
            </w:r>
            <w:hyperlink r:id="rId12" w:history="1">
              <w:r>
                <w:rPr>
                  <w:rFonts w:ascii="Calibri" w:hAnsi="Calibri" w:cs="Calibri"/>
                  <w:color w:val="FFFFFF"/>
                  <w:sz w:val="28"/>
                  <w:szCs w:val="28"/>
                </w:rPr>
                <w:t>Register</w:t>
              </w:r>
              <w:proofErr w:type="spellEnd"/>
            </w:hyperlink>
          </w:p>
        </w:tc>
      </w:tr>
      <w:tr w:rsidR="00AB68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0" w:type="dxa"/>
            <w:tcMar>
              <w:bottom w:w="400" w:type="nil"/>
            </w:tcMar>
          </w:tcPr>
          <w:p w:rsidR="00AB68BE" w:rsidRDefault="00AB6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3F3F3F"/>
                <w:sz w:val="28"/>
                <w:szCs w:val="28"/>
              </w:rPr>
              <w:t>October 7 </w:t>
            </w:r>
            <w:hyperlink r:id="rId13" w:history="1">
              <w:r>
                <w:rPr>
                  <w:rFonts w:ascii="Calibri" w:hAnsi="Calibri" w:cs="Calibri"/>
                  <w:i/>
                  <w:iCs/>
                  <w:color w:val="313131"/>
                  <w:sz w:val="28"/>
                  <w:szCs w:val="28"/>
                </w:rPr>
                <w:t xml:space="preserve">The </w:t>
              </w:r>
              <w:proofErr w:type="spellStart"/>
              <w:r>
                <w:rPr>
                  <w:rFonts w:ascii="Calibri" w:hAnsi="Calibri" w:cs="Calibri"/>
                  <w:i/>
                  <w:iCs/>
                  <w:color w:val="313131"/>
                  <w:sz w:val="28"/>
                  <w:szCs w:val="28"/>
                </w:rPr>
                <w:t>Gamification</w:t>
              </w:r>
              <w:proofErr w:type="spellEnd"/>
              <w:r>
                <w:rPr>
                  <w:rFonts w:ascii="Calibri" w:hAnsi="Calibri" w:cs="Calibri"/>
                  <w:i/>
                  <w:iCs/>
                  <w:color w:val="313131"/>
                  <w:sz w:val="28"/>
                  <w:szCs w:val="28"/>
                </w:rPr>
                <w:t xml:space="preserve"> of Learning: Producing Tighter, More Timely Feedback for Increased Student Success</w:t>
              </w:r>
            </w:hyperlink>
          </w:p>
          <w:p w:rsidR="00AB68BE" w:rsidRDefault="00AB68B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libri" w:hAnsi="Calibri" w:cs="Calibri"/>
                <w:color w:val="3F3F3F"/>
                <w:sz w:val="28"/>
                <w:szCs w:val="28"/>
              </w:rPr>
              <w:t xml:space="preserve">In this webcast, </w:t>
            </w:r>
            <w:proofErr w:type="spellStart"/>
            <w:r>
              <w:rPr>
                <w:rFonts w:ascii="Calibri" w:hAnsi="Calibri" w:cs="Calibri"/>
                <w:color w:val="3F3F3F"/>
                <w:sz w:val="28"/>
                <w:szCs w:val="28"/>
              </w:rPr>
              <w:t>Zandree</w:t>
            </w:r>
            <w:proofErr w:type="spellEnd"/>
            <w:r>
              <w:rPr>
                <w:rFonts w:ascii="Calibri" w:hAnsi="Calibri" w:cs="Calibri"/>
                <w:color w:val="3F3F3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F3F3F"/>
                <w:sz w:val="28"/>
                <w:szCs w:val="28"/>
              </w:rPr>
              <w:t>Stidham</w:t>
            </w:r>
            <w:proofErr w:type="spellEnd"/>
            <w:r>
              <w:rPr>
                <w:rFonts w:ascii="Calibri" w:hAnsi="Calibri" w:cs="Calibri"/>
                <w:color w:val="3F3F3F"/>
                <w:sz w:val="28"/>
                <w:szCs w:val="28"/>
              </w:rPr>
              <w:t xml:space="preserve"> (Department Chair of Communications at the University of New Mexico) will share current research behind the </w:t>
            </w:r>
            <w:proofErr w:type="spellStart"/>
            <w:r>
              <w:rPr>
                <w:rFonts w:ascii="Calibri" w:hAnsi="Calibri" w:cs="Calibri"/>
                <w:color w:val="3F3F3F"/>
                <w:sz w:val="28"/>
                <w:szCs w:val="28"/>
              </w:rPr>
              <w:t>gamification</w:t>
            </w:r>
            <w:proofErr w:type="spellEnd"/>
            <w:r>
              <w:rPr>
                <w:rFonts w:ascii="Calibri" w:hAnsi="Calibri" w:cs="Calibri"/>
                <w:color w:val="3F3F3F"/>
                <w:sz w:val="28"/>
                <w:szCs w:val="28"/>
              </w:rPr>
              <w:t xml:space="preserve"> of learning, discuss the intersection of gaming and student engagement, and share strategies for deploying game-based approaches in the classroom. </w:t>
            </w:r>
            <w:hyperlink r:id="rId14" w:history="1">
              <w:r>
                <w:rPr>
                  <w:rFonts w:ascii="Calibri" w:hAnsi="Calibri" w:cs="Calibri"/>
                  <w:color w:val="FFFFFF"/>
                  <w:sz w:val="28"/>
                  <w:szCs w:val="28"/>
                </w:rPr>
                <w:t>Register</w:t>
              </w:r>
            </w:hyperlink>
          </w:p>
        </w:tc>
      </w:tr>
      <w:tr w:rsidR="00AB68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0" w:type="dxa"/>
            <w:tcMar>
              <w:bottom w:w="400" w:type="nil"/>
            </w:tcMar>
          </w:tcPr>
          <w:p w:rsidR="00AB68BE" w:rsidRDefault="00AB6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3F3F3F"/>
                <w:sz w:val="28"/>
                <w:szCs w:val="28"/>
              </w:rPr>
              <w:t>October 8 </w:t>
            </w:r>
            <w:hyperlink r:id="rId15" w:history="1">
              <w:r>
                <w:rPr>
                  <w:rFonts w:ascii="Calibri" w:hAnsi="Calibri" w:cs="Calibri"/>
                  <w:i/>
                  <w:iCs/>
                  <w:color w:val="313131"/>
                  <w:sz w:val="28"/>
                  <w:szCs w:val="28"/>
                </w:rPr>
                <w:t>The Place of Feedback in High-Stakes Assessment</w:t>
              </w:r>
            </w:hyperlink>
          </w:p>
          <w:p w:rsidR="00AB68BE" w:rsidRDefault="00AB68B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libri" w:hAnsi="Calibri" w:cs="Calibri"/>
                <w:color w:val="3F3F3F"/>
                <w:sz w:val="28"/>
                <w:szCs w:val="28"/>
              </w:rPr>
              <w:t xml:space="preserve">Join us for a conversation with Wayne </w:t>
            </w:r>
            <w:proofErr w:type="spellStart"/>
            <w:r>
              <w:rPr>
                <w:rFonts w:ascii="Calibri" w:hAnsi="Calibri" w:cs="Calibri"/>
                <w:color w:val="3F3F3F"/>
                <w:sz w:val="28"/>
                <w:szCs w:val="28"/>
              </w:rPr>
              <w:t>Camara</w:t>
            </w:r>
            <w:proofErr w:type="spellEnd"/>
            <w:r>
              <w:rPr>
                <w:rFonts w:ascii="Calibri" w:hAnsi="Calibri" w:cs="Calibri"/>
                <w:color w:val="3F3F3F"/>
                <w:sz w:val="28"/>
                <w:szCs w:val="28"/>
              </w:rPr>
              <w:t>, the Senior Vice President, Research at ACT® as he shares insights into the connections between high-stakes assessment, feedback and standards. The interview will cover topics such as the importance of standards alignment, how feedback might look in the near future and the benefits for students. </w:t>
            </w:r>
            <w:hyperlink r:id="rId16" w:history="1">
              <w:r>
                <w:rPr>
                  <w:rFonts w:ascii="Calibri" w:hAnsi="Calibri" w:cs="Calibri"/>
                  <w:color w:val="FFFFFF"/>
                  <w:sz w:val="28"/>
                  <w:szCs w:val="28"/>
                </w:rPr>
                <w:t>Register</w:t>
              </w:r>
            </w:hyperlink>
          </w:p>
        </w:tc>
      </w:tr>
      <w:tr w:rsidR="00AB68B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0" w:type="dxa"/>
            <w:tcMar>
              <w:bottom w:w="400" w:type="nil"/>
            </w:tcMar>
          </w:tcPr>
          <w:p w:rsidR="00AB68BE" w:rsidRDefault="00AB6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3F3F3F"/>
                <w:sz w:val="28"/>
                <w:szCs w:val="28"/>
              </w:rPr>
              <w:t>October 9 </w:t>
            </w:r>
            <w:hyperlink r:id="rId17" w:history="1">
              <w:r>
                <w:rPr>
                  <w:rFonts w:ascii="Calibri" w:hAnsi="Calibri" w:cs="Calibri"/>
                  <w:i/>
                  <w:iCs/>
                  <w:color w:val="313131"/>
                  <w:sz w:val="28"/>
                  <w:szCs w:val="28"/>
                </w:rPr>
                <w:t>Students Feed Back: Student Perceptions of Instructor Feedback</w:t>
              </w:r>
            </w:hyperlink>
          </w:p>
          <w:p w:rsidR="00AB68BE" w:rsidRDefault="00AB68B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libri" w:hAnsi="Calibri" w:cs="Calibri"/>
                <w:color w:val="3F3F3F"/>
                <w:sz w:val="28"/>
                <w:szCs w:val="28"/>
              </w:rPr>
              <w:t>What do students really think about the feedback that they receive? Join us for a special session where we'll surface student insight into the approaches, strategies, and mediums that students find most effective in helping them improve their work. </w:t>
            </w:r>
            <w:hyperlink r:id="rId18" w:history="1">
              <w:r>
                <w:rPr>
                  <w:rFonts w:ascii="Calibri" w:hAnsi="Calibri" w:cs="Calibri"/>
                  <w:color w:val="FFFFFF"/>
                  <w:sz w:val="28"/>
                  <w:szCs w:val="28"/>
                </w:rPr>
                <w:t>Register</w:t>
              </w:r>
            </w:hyperlink>
          </w:p>
        </w:tc>
      </w:tr>
      <w:tr w:rsidR="00AB68BE">
        <w:tblPrEx>
          <w:tblCellMar>
            <w:top w:w="0" w:type="dxa"/>
            <w:bottom w:w="0" w:type="dxa"/>
          </w:tblCellMar>
        </w:tblPrEx>
        <w:tc>
          <w:tcPr>
            <w:tcW w:w="12000" w:type="dxa"/>
            <w:tcMar>
              <w:bottom w:w="400" w:type="nil"/>
            </w:tcMar>
          </w:tcPr>
          <w:p w:rsidR="00AB68BE" w:rsidRDefault="00AB68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3F3F3F"/>
                <w:sz w:val="28"/>
                <w:szCs w:val="28"/>
              </w:rPr>
              <w:t>October 10 </w:t>
            </w:r>
            <w:hyperlink r:id="rId19" w:history="1">
              <w:r>
                <w:rPr>
                  <w:rFonts w:ascii="Calibri" w:hAnsi="Calibri" w:cs="Calibri"/>
                  <w:i/>
                  <w:iCs/>
                  <w:color w:val="313131"/>
                  <w:sz w:val="28"/>
                  <w:szCs w:val="28"/>
                </w:rPr>
                <w:t>Dial Up and Dialed In: Engaging the Digital Student</w:t>
              </w:r>
            </w:hyperlink>
          </w:p>
          <w:p w:rsidR="00AB68BE" w:rsidRDefault="00AB68B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libri" w:hAnsi="Calibri" w:cs="Calibri"/>
                <w:color w:val="3F3F3F"/>
                <w:sz w:val="28"/>
                <w:szCs w:val="28"/>
              </w:rPr>
              <w:t xml:space="preserve">In this session, Kelley </w:t>
            </w:r>
            <w:proofErr w:type="spellStart"/>
            <w:r>
              <w:rPr>
                <w:rFonts w:ascii="Calibri" w:hAnsi="Calibri" w:cs="Calibri"/>
                <w:color w:val="3F3F3F"/>
                <w:sz w:val="28"/>
                <w:szCs w:val="28"/>
              </w:rPr>
              <w:t>Brumbelow</w:t>
            </w:r>
            <w:proofErr w:type="spellEnd"/>
            <w:r>
              <w:rPr>
                <w:rFonts w:ascii="Calibri" w:hAnsi="Calibri" w:cs="Calibri"/>
                <w:color w:val="3F3F3F"/>
                <w:sz w:val="28"/>
                <w:szCs w:val="28"/>
              </w:rPr>
              <w:t xml:space="preserve"> (Georgia Virtual School) shares her strategies for engaging students in an online-only classroom. </w:t>
            </w:r>
            <w:proofErr w:type="spellStart"/>
            <w:r>
              <w:rPr>
                <w:rFonts w:ascii="Calibri" w:hAnsi="Calibri" w:cs="Calibri"/>
                <w:color w:val="3F3F3F"/>
                <w:sz w:val="28"/>
                <w:szCs w:val="28"/>
              </w:rPr>
              <w:t>Brumbelow</w:t>
            </w:r>
            <w:proofErr w:type="spellEnd"/>
            <w:r>
              <w:rPr>
                <w:rFonts w:ascii="Calibri" w:hAnsi="Calibri" w:cs="Calibri"/>
                <w:color w:val="3F3F3F"/>
                <w:sz w:val="28"/>
                <w:szCs w:val="28"/>
              </w:rPr>
              <w:t xml:space="preserve"> will discuss how setting expectations, providing interactive videos for feedback, and leveraging standardized rubrics all serve to increase the effectiveness of feedback. </w:t>
            </w:r>
            <w:hyperlink r:id="rId20" w:history="1">
              <w:r>
                <w:rPr>
                  <w:rFonts w:ascii="Calibri" w:hAnsi="Calibri" w:cs="Calibri"/>
                  <w:color w:val="285287"/>
                  <w:sz w:val="28"/>
                  <w:szCs w:val="28"/>
                </w:rPr>
                <w:t>Register</w:t>
              </w:r>
            </w:hyperlink>
          </w:p>
          <w:p w:rsidR="00AB68BE" w:rsidRDefault="00AB68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Today’s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Bitstrip</w:t>
      </w:r>
      <w:proofErr w:type="spellEnd"/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777105" cy="2196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Jim Heston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Coordinator of Academic Technology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Baylor School of Social Work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One Bear Place #97320</w:t>
      </w:r>
    </w:p>
    <w:p w:rsidR="00AB68BE" w:rsidRDefault="00AB68BE" w:rsidP="00AB68B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Waco, TX 76798-7320</w:t>
      </w:r>
    </w:p>
    <w:p w:rsidR="001E2E9A" w:rsidRDefault="00AB68BE" w:rsidP="00AB68BE">
      <w:r>
        <w:rPr>
          <w:rFonts w:ascii="Calibri" w:hAnsi="Calibri" w:cs="Calibri"/>
          <w:sz w:val="28"/>
          <w:szCs w:val="28"/>
        </w:rPr>
        <w:t>(254) 710-6419</w:t>
      </w:r>
    </w:p>
    <w:sectPr w:rsidR="001E2E9A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BE"/>
    <w:rsid w:val="001E2E9A"/>
    <w:rsid w:val="0056292C"/>
    <w:rsid w:val="00A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go.turnitin.com/e/45292/ebcast-ssw14-dial-up-dialed-in/s72n/93889845" TargetMode="External"/><Relationship Id="rId21" Type="http://schemas.openxmlformats.org/officeDocument/2006/relationships/image" Target="media/image3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turnitin.com/en_us/resources/student-success-week" TargetMode="External"/><Relationship Id="rId11" Type="http://schemas.openxmlformats.org/officeDocument/2006/relationships/hyperlink" Target="http://go.turnitin.com/e/45292/webcast-ssw14-wealth-in-words/s72d/93889845" TargetMode="External"/><Relationship Id="rId12" Type="http://schemas.openxmlformats.org/officeDocument/2006/relationships/hyperlink" Target="http://go.turnitin.com/e/45292/webcast-ssw14-wealth-in-words/s72d/93889845" TargetMode="External"/><Relationship Id="rId13" Type="http://schemas.openxmlformats.org/officeDocument/2006/relationships/hyperlink" Target="http://go.turnitin.com/e/45292/ssw14-gamification-of-learning/s72g/93889845" TargetMode="External"/><Relationship Id="rId14" Type="http://schemas.openxmlformats.org/officeDocument/2006/relationships/hyperlink" Target="http://go.turnitin.com/e/45292/ssw14-gamification-of-learning/s73b/93889845" TargetMode="External"/><Relationship Id="rId15" Type="http://schemas.openxmlformats.org/officeDocument/2006/relationships/hyperlink" Target="http://go.turnitin.com/e/45292/bcast-ssw14-place-of-feedbacks/s73d/93889845" TargetMode="External"/><Relationship Id="rId16" Type="http://schemas.openxmlformats.org/officeDocument/2006/relationships/hyperlink" Target="http://go.turnitin.com/e/45292/ebcast-ssw14-place-of-feedback/s72j/93889845" TargetMode="External"/><Relationship Id="rId17" Type="http://schemas.openxmlformats.org/officeDocument/2006/relationships/hyperlink" Target="http://go.turnitin.com/e/45292/cast-ssw14-student-perceptions/s72l/93889845" TargetMode="External"/><Relationship Id="rId18" Type="http://schemas.openxmlformats.org/officeDocument/2006/relationships/hyperlink" Target="http://go.turnitin.com/e/45292/cast-ssw14-student-perceptions/s72l/93889845" TargetMode="External"/><Relationship Id="rId19" Type="http://schemas.openxmlformats.org/officeDocument/2006/relationships/hyperlink" Target="http://go.turnitin.com/e/45292/ebcast-ssw14-dial-up-dialed-in/s72n/93889845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megenerator.net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easel.ly/" TargetMode="External"/><Relationship Id="rId8" Type="http://schemas.openxmlformats.org/officeDocument/2006/relationships/hyperlink" Target="http://www.easel.ly/blog/new-feature-ch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3341</Characters>
  <Application>Microsoft Macintosh Word</Application>
  <DocSecurity>0</DocSecurity>
  <Lines>27</Lines>
  <Paragraphs>7</Paragraphs>
  <ScaleCrop>false</ScaleCrop>
  <Company>Baylor University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2014-11-03T19:30:00Z</dcterms:created>
  <dcterms:modified xsi:type="dcterms:W3CDTF">2014-11-03T19:31:00Z</dcterms:modified>
</cp:coreProperties>
</file>