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Technically Speaking 10-31-14</w:t>
      </w: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bookmarkStart w:id="0" w:name="_GoBack"/>
      <w:bookmarkEnd w:id="0"/>
      <w:r>
        <w:rPr>
          <w:rFonts w:ascii="Calibri" w:hAnsi="Calibri" w:cs="Calibri"/>
          <w:sz w:val="28"/>
          <w:szCs w:val="28"/>
        </w:rPr>
        <w:t>Faculty friends,</w:t>
      </w: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b/>
          <w:bCs/>
          <w:sz w:val="28"/>
          <w:szCs w:val="28"/>
        </w:rPr>
        <w:t>The TED 10 Commandments </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 xml:space="preserve">There’s both a </w:t>
      </w:r>
      <w:proofErr w:type="spellStart"/>
      <w:r>
        <w:rPr>
          <w:rFonts w:ascii="Calibri" w:hAnsi="Calibri" w:cs="Calibri"/>
          <w:sz w:val="28"/>
          <w:szCs w:val="28"/>
        </w:rPr>
        <w:t>Prezi</w:t>
      </w:r>
      <w:proofErr w:type="spellEnd"/>
      <w:r>
        <w:rPr>
          <w:rFonts w:ascii="Calibri" w:hAnsi="Calibri" w:cs="Calibri"/>
          <w:sz w:val="28"/>
          <w:szCs w:val="28"/>
        </w:rPr>
        <w:t xml:space="preserve"> and a more informative list of the TED 10 Commandments for public speaking at </w:t>
      </w:r>
      <w:hyperlink r:id="rId6" w:history="1">
        <w:r>
          <w:rPr>
            <w:rFonts w:ascii="Calibri" w:hAnsi="Calibri" w:cs="Calibri"/>
            <w:color w:val="0000E9"/>
            <w:sz w:val="28"/>
            <w:szCs w:val="28"/>
            <w:u w:val="single" w:color="0000E9"/>
          </w:rPr>
          <w:t>http://blog.prezi.com/latest/2014/9/3/what-does-it-really-take-to-reach-the-speaking-worlds-bigges.html?utm_source=whatsnewoct&amp;utm_medium=email&amp;utm_campaign=blog</w:t>
        </w:r>
      </w:hyperlink>
      <w:r>
        <w:rPr>
          <w:rFonts w:ascii="Calibri" w:hAnsi="Calibri" w:cs="Calibri"/>
          <w:sz w:val="28"/>
          <w:szCs w:val="28"/>
        </w:rPr>
        <w:t> </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In summary, they are:</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be the real you.</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play to thy greatest strengths.</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connect with thy audience.</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write thy words with a copywriter’s pen.</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speak simple, compelling truths.</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begin and end in greatness.</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harken to thy voice.</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delight thy audience.</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worship beautiful images.</w:t>
      </w:r>
    </w:p>
    <w:p w:rsidR="000813A5" w:rsidRDefault="000813A5" w:rsidP="000813A5">
      <w:pPr>
        <w:widowControl w:val="0"/>
        <w:numPr>
          <w:ilvl w:val="0"/>
          <w:numId w:val="1"/>
        </w:numPr>
        <w:tabs>
          <w:tab w:val="left" w:pos="220"/>
          <w:tab w:val="left" w:pos="720"/>
        </w:tabs>
        <w:autoSpaceDE w:val="0"/>
        <w:autoSpaceDN w:val="0"/>
        <w:adjustRightInd w:val="0"/>
        <w:ind w:hanging="720"/>
        <w:rPr>
          <w:rFonts w:ascii="Calibri" w:hAnsi="Calibri" w:cs="Calibri"/>
          <w:sz w:val="28"/>
          <w:szCs w:val="28"/>
        </w:rPr>
      </w:pPr>
      <w:r>
        <w:rPr>
          <w:rFonts w:ascii="Calibri" w:hAnsi="Calibri" w:cs="Calibri"/>
          <w:sz w:val="28"/>
          <w:szCs w:val="28"/>
        </w:rPr>
        <w:t>Thou shalt practice out loud.</w:t>
      </w: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b/>
          <w:bCs/>
          <w:sz w:val="28"/>
          <w:szCs w:val="28"/>
        </w:rPr>
        <w:t>Online Course Design</w:t>
      </w:r>
    </w:p>
    <w:p w:rsidR="000813A5" w:rsidRDefault="000813A5" w:rsidP="000813A5">
      <w:pPr>
        <w:widowControl w:val="0"/>
        <w:autoSpaceDE w:val="0"/>
        <w:autoSpaceDN w:val="0"/>
        <w:adjustRightInd w:val="0"/>
        <w:rPr>
          <w:rFonts w:ascii="Calibri" w:hAnsi="Calibri" w:cs="Calibri"/>
          <w:sz w:val="26"/>
          <w:szCs w:val="26"/>
        </w:rPr>
      </w:pPr>
      <w:r>
        <w:rPr>
          <w:rFonts w:ascii="Calibri" w:hAnsi="Calibri" w:cs="Calibri"/>
          <w:sz w:val="26"/>
          <w:szCs w:val="26"/>
        </w:rPr>
        <w:t>Here’s an article on what not to do in online course design (with explanations of what to do as well): </w:t>
      </w:r>
    </w:p>
    <w:p w:rsidR="000813A5" w:rsidRDefault="000813A5" w:rsidP="000813A5">
      <w:pPr>
        <w:widowControl w:val="0"/>
        <w:autoSpaceDE w:val="0"/>
        <w:autoSpaceDN w:val="0"/>
        <w:adjustRightInd w:val="0"/>
        <w:rPr>
          <w:rFonts w:ascii="Calibri" w:hAnsi="Calibri" w:cs="Calibri"/>
          <w:sz w:val="28"/>
          <w:szCs w:val="28"/>
        </w:rPr>
      </w:pPr>
      <w:hyperlink r:id="rId7" w:history="1">
        <w:r>
          <w:rPr>
            <w:rFonts w:ascii="Calibri" w:hAnsi="Calibri" w:cs="Calibri"/>
            <w:color w:val="0000E9"/>
            <w:sz w:val="26"/>
            <w:szCs w:val="26"/>
            <w:u w:val="single" w:color="0000E9"/>
          </w:rPr>
          <w:t>http://onlinelearninginsights.wordpress.com/2012/08/06/how-not-to-design-an-online-course</w:t>
        </w:r>
      </w:hyperlink>
      <w:r>
        <w:rPr>
          <w:rFonts w:ascii="Calibri" w:hAnsi="Calibri" w:cs="Calibri"/>
          <w:sz w:val="26"/>
          <w:szCs w:val="26"/>
        </w:rPr>
        <w:t>/ </w:t>
      </w:r>
    </w:p>
    <w:p w:rsidR="000813A5" w:rsidRDefault="000813A5" w:rsidP="000813A5">
      <w:pPr>
        <w:widowControl w:val="0"/>
        <w:numPr>
          <w:ilvl w:val="0"/>
          <w:numId w:val="2"/>
        </w:numPr>
        <w:tabs>
          <w:tab w:val="left" w:pos="220"/>
          <w:tab w:val="left" w:pos="720"/>
        </w:tabs>
        <w:autoSpaceDE w:val="0"/>
        <w:autoSpaceDN w:val="0"/>
        <w:adjustRightInd w:val="0"/>
        <w:ind w:hanging="720"/>
        <w:rPr>
          <w:rFonts w:ascii="Helvetica Neue" w:hAnsi="Helvetica Neue" w:cs="Helvetica Neue"/>
          <w:color w:val="2A2A2A"/>
          <w:sz w:val="30"/>
          <w:szCs w:val="30"/>
        </w:rPr>
      </w:pPr>
      <w:r>
        <w:rPr>
          <w:rFonts w:ascii="Helvetica Neue" w:hAnsi="Helvetica Neue" w:cs="Helvetica Neue"/>
          <w:b/>
          <w:bCs/>
          <w:color w:val="00006D"/>
          <w:sz w:val="30"/>
          <w:szCs w:val="30"/>
        </w:rPr>
        <w:t>What not to do</w:t>
      </w:r>
      <w:r>
        <w:rPr>
          <w:rFonts w:ascii="Helvetica Neue" w:hAnsi="Helvetica Neue" w:cs="Helvetica Neue"/>
          <w:color w:val="00006D"/>
          <w:sz w:val="30"/>
          <w:szCs w:val="30"/>
        </w:rPr>
        <w:t>: </w:t>
      </w:r>
      <w:r>
        <w:rPr>
          <w:rFonts w:ascii="Helvetica Neue" w:hAnsi="Helvetica Neue" w:cs="Helvetica Neue"/>
          <w:i/>
          <w:iCs/>
          <w:color w:val="00006D"/>
          <w:sz w:val="30"/>
          <w:szCs w:val="30"/>
        </w:rPr>
        <w:t>Use the same face-to-face course syllabus</w:t>
      </w:r>
      <w:r>
        <w:rPr>
          <w:rFonts w:ascii="Helvetica Neue" w:hAnsi="Helvetica Neue" w:cs="Helvetica Neue"/>
          <w:color w:val="00006D"/>
          <w:sz w:val="30"/>
          <w:szCs w:val="30"/>
        </w:rPr>
        <w:t xml:space="preserve">: Professor Harding has a detailed syllabus he has perfected over years of teaching his face-to-face class and with a few minor </w:t>
      </w:r>
      <w:proofErr w:type="gramStart"/>
      <w:r>
        <w:rPr>
          <w:rFonts w:ascii="Helvetica Neue" w:hAnsi="Helvetica Neue" w:cs="Helvetica Neue"/>
          <w:color w:val="00006D"/>
          <w:sz w:val="30"/>
          <w:szCs w:val="30"/>
        </w:rPr>
        <w:t>modifications,</w:t>
      </w:r>
      <w:proofErr w:type="gramEnd"/>
      <w:r>
        <w:rPr>
          <w:rFonts w:ascii="Helvetica Neue" w:hAnsi="Helvetica Neue" w:cs="Helvetica Neue"/>
          <w:color w:val="00006D"/>
          <w:sz w:val="30"/>
          <w:szCs w:val="30"/>
        </w:rPr>
        <w:t xml:space="preserve"> he plans to use this syllabus for the online course.</w:t>
      </w:r>
    </w:p>
    <w:p w:rsidR="000813A5" w:rsidRDefault="000813A5" w:rsidP="000813A5">
      <w:pPr>
        <w:widowControl w:val="0"/>
        <w:numPr>
          <w:ilvl w:val="0"/>
          <w:numId w:val="2"/>
        </w:numPr>
        <w:tabs>
          <w:tab w:val="left" w:pos="220"/>
          <w:tab w:val="left" w:pos="720"/>
        </w:tabs>
        <w:autoSpaceDE w:val="0"/>
        <w:autoSpaceDN w:val="0"/>
        <w:adjustRightInd w:val="0"/>
        <w:ind w:hanging="720"/>
        <w:rPr>
          <w:rFonts w:ascii="Helvetica Neue" w:hAnsi="Helvetica Neue" w:cs="Helvetica Neue"/>
          <w:color w:val="2A2A2A"/>
          <w:sz w:val="30"/>
          <w:szCs w:val="30"/>
        </w:rPr>
      </w:pPr>
      <w:r>
        <w:rPr>
          <w:rFonts w:ascii="Helvetica Neue" w:hAnsi="Helvetica Neue" w:cs="Helvetica Neue"/>
          <w:color w:val="00006D"/>
          <w:sz w:val="30"/>
          <w:szCs w:val="30"/>
        </w:rPr>
        <w:t>2. </w:t>
      </w:r>
      <w:r>
        <w:rPr>
          <w:rFonts w:ascii="Helvetica Neue" w:hAnsi="Helvetica Neue" w:cs="Helvetica Neue"/>
          <w:b/>
          <w:bCs/>
          <w:color w:val="00006D"/>
          <w:sz w:val="30"/>
          <w:szCs w:val="30"/>
        </w:rPr>
        <w:t>What not to do: </w:t>
      </w:r>
      <w:r>
        <w:rPr>
          <w:rFonts w:ascii="Helvetica Neue" w:hAnsi="Helvetica Neue" w:cs="Helvetica Neue"/>
          <w:i/>
          <w:iCs/>
          <w:color w:val="00006D"/>
          <w:sz w:val="30"/>
          <w:szCs w:val="30"/>
        </w:rPr>
        <w:t>Implement Course grading that relies heavily on exam assessments</w:t>
      </w:r>
      <w:r>
        <w:rPr>
          <w:rFonts w:ascii="Helvetica Neue" w:hAnsi="Helvetica Neue" w:cs="Helvetica Neue"/>
          <w:color w:val="00006D"/>
          <w:sz w:val="30"/>
          <w:szCs w:val="30"/>
        </w:rPr>
        <w:t xml:space="preserve">. Harding’s face-to-face </w:t>
      </w:r>
      <w:r>
        <w:rPr>
          <w:rFonts w:ascii="Helvetica Neue" w:hAnsi="Helvetica Neue" w:cs="Helvetica Neue"/>
          <w:color w:val="00006D"/>
          <w:sz w:val="30"/>
          <w:szCs w:val="30"/>
        </w:rPr>
        <w:lastRenderedPageBreak/>
        <w:t>course is heavily test based with 70% of course grade allocated to exams and tests, 25% to assignments and 5% to participation. Given the significant test and exam weight, Harding plans to mandate that students complete all exams and tests in a proctored setting to ensure academic integrity.</w:t>
      </w:r>
    </w:p>
    <w:p w:rsidR="000813A5" w:rsidRDefault="000813A5" w:rsidP="000813A5">
      <w:pPr>
        <w:widowControl w:val="0"/>
        <w:numPr>
          <w:ilvl w:val="0"/>
          <w:numId w:val="2"/>
        </w:numPr>
        <w:tabs>
          <w:tab w:val="left" w:pos="220"/>
          <w:tab w:val="left" w:pos="720"/>
        </w:tabs>
        <w:autoSpaceDE w:val="0"/>
        <w:autoSpaceDN w:val="0"/>
        <w:adjustRightInd w:val="0"/>
        <w:ind w:hanging="720"/>
        <w:rPr>
          <w:rFonts w:ascii="Helvetica Neue" w:hAnsi="Helvetica Neue" w:cs="Helvetica Neue"/>
          <w:color w:val="2A2A2A"/>
          <w:sz w:val="30"/>
          <w:szCs w:val="30"/>
        </w:rPr>
      </w:pPr>
      <w:r>
        <w:rPr>
          <w:rFonts w:ascii="Helvetica Neue" w:hAnsi="Helvetica Neue" w:cs="Helvetica Neue"/>
          <w:b/>
          <w:bCs/>
          <w:color w:val="00006D"/>
          <w:sz w:val="30"/>
          <w:szCs w:val="30"/>
        </w:rPr>
        <w:t>What not to do</w:t>
      </w:r>
      <w:r>
        <w:rPr>
          <w:rFonts w:ascii="Helvetica Neue" w:hAnsi="Helvetica Neue" w:cs="Helvetica Neue"/>
          <w:i/>
          <w:iCs/>
          <w:color w:val="00006D"/>
          <w:sz w:val="30"/>
          <w:szCs w:val="30"/>
        </w:rPr>
        <w:t>: Assignments that lack detailed instructions</w:t>
      </w:r>
      <w:r>
        <w:rPr>
          <w:rFonts w:ascii="Helvetica Neue" w:hAnsi="Helvetica Neue" w:cs="Helvetica Neue"/>
          <w:color w:val="00006D"/>
          <w:sz w:val="30"/>
          <w:szCs w:val="30"/>
        </w:rPr>
        <w:t>: There are two assignments for this History course with descriptions of each in the course syllabus. Assignment details are outlined in two paragraphs within the syllabus, though professor Harding usually gives his face-to-face students enhanced instructions during his classroom lectures.</w:t>
      </w:r>
    </w:p>
    <w:p w:rsidR="000813A5" w:rsidRDefault="000813A5" w:rsidP="000813A5">
      <w:pPr>
        <w:widowControl w:val="0"/>
        <w:numPr>
          <w:ilvl w:val="0"/>
          <w:numId w:val="2"/>
        </w:numPr>
        <w:tabs>
          <w:tab w:val="left" w:pos="220"/>
          <w:tab w:val="left" w:pos="720"/>
        </w:tabs>
        <w:autoSpaceDE w:val="0"/>
        <w:autoSpaceDN w:val="0"/>
        <w:adjustRightInd w:val="0"/>
        <w:ind w:hanging="720"/>
        <w:rPr>
          <w:rFonts w:ascii="Helvetica Neue" w:hAnsi="Helvetica Neue" w:cs="Helvetica Neue"/>
          <w:color w:val="2A2A2A"/>
          <w:sz w:val="30"/>
          <w:szCs w:val="30"/>
        </w:rPr>
      </w:pPr>
      <w:r>
        <w:rPr>
          <w:rFonts w:ascii="Helvetica Neue" w:hAnsi="Helvetica Neue" w:cs="Helvetica Neue"/>
          <w:b/>
          <w:bCs/>
          <w:color w:val="00006D"/>
          <w:sz w:val="30"/>
          <w:szCs w:val="30"/>
        </w:rPr>
        <w:t>What not to do: </w:t>
      </w:r>
      <w:r>
        <w:rPr>
          <w:rFonts w:ascii="Helvetica Neue" w:hAnsi="Helvetica Neue" w:cs="Helvetica Neue"/>
          <w:i/>
          <w:iCs/>
          <w:color w:val="00006D"/>
          <w:sz w:val="30"/>
          <w:szCs w:val="30"/>
        </w:rPr>
        <w:t>Utilize the same course materials as used in F2F class</w:t>
      </w:r>
      <w:r>
        <w:rPr>
          <w:rFonts w:ascii="Helvetica Neue" w:hAnsi="Helvetica Neue" w:cs="Helvetica Neue"/>
          <w:color w:val="00006D"/>
          <w:sz w:val="30"/>
          <w:szCs w:val="30"/>
        </w:rPr>
        <w:t>. The course materials for the history class consist of a textbook, several handouts, and power point slides, all of which (except for textbook) the professor plans to post to the course home page.</w:t>
      </w:r>
    </w:p>
    <w:p w:rsidR="000813A5" w:rsidRDefault="000813A5" w:rsidP="000813A5">
      <w:pPr>
        <w:widowControl w:val="0"/>
        <w:numPr>
          <w:ilvl w:val="0"/>
          <w:numId w:val="2"/>
        </w:numPr>
        <w:tabs>
          <w:tab w:val="left" w:pos="220"/>
          <w:tab w:val="left" w:pos="720"/>
        </w:tabs>
        <w:autoSpaceDE w:val="0"/>
        <w:autoSpaceDN w:val="0"/>
        <w:adjustRightInd w:val="0"/>
        <w:ind w:hanging="720"/>
        <w:rPr>
          <w:rFonts w:ascii="Helvetica Neue" w:hAnsi="Helvetica Neue" w:cs="Helvetica Neue"/>
          <w:color w:val="2A2A2A"/>
          <w:sz w:val="30"/>
          <w:szCs w:val="30"/>
        </w:rPr>
      </w:pPr>
      <w:r>
        <w:rPr>
          <w:rFonts w:ascii="Helvetica Neue" w:hAnsi="Helvetica Neue" w:cs="Helvetica Neue"/>
          <w:b/>
          <w:bCs/>
          <w:color w:val="00006D"/>
          <w:sz w:val="30"/>
          <w:szCs w:val="30"/>
        </w:rPr>
        <w:t>What not to do</w:t>
      </w:r>
      <w:r>
        <w:rPr>
          <w:rFonts w:ascii="Helvetica Neue" w:hAnsi="Helvetica Neue" w:cs="Helvetica Neue"/>
          <w:color w:val="00006D"/>
          <w:sz w:val="30"/>
          <w:szCs w:val="30"/>
        </w:rPr>
        <w:t>: </w:t>
      </w:r>
      <w:r>
        <w:rPr>
          <w:rFonts w:ascii="Helvetica Neue" w:hAnsi="Helvetica Neue" w:cs="Helvetica Neue"/>
          <w:i/>
          <w:iCs/>
          <w:color w:val="00006D"/>
          <w:sz w:val="30"/>
          <w:szCs w:val="30"/>
        </w:rPr>
        <w:t>Underestimate the amount of time needed for course transition. </w:t>
      </w:r>
      <w:r>
        <w:rPr>
          <w:rFonts w:ascii="Helvetica Neue" w:hAnsi="Helvetica Neue" w:cs="Helvetica Neue"/>
          <w:color w:val="00006D"/>
          <w:sz w:val="30"/>
          <w:szCs w:val="30"/>
        </w:rPr>
        <w:t>This is one of the most common mistakes of all, underestimating how much time is needed to bring a course to the online format.</w:t>
      </w:r>
    </w:p>
    <w:p w:rsidR="000813A5" w:rsidRDefault="000813A5" w:rsidP="000813A5">
      <w:pPr>
        <w:widowControl w:val="0"/>
        <w:autoSpaceDE w:val="0"/>
        <w:autoSpaceDN w:val="0"/>
        <w:adjustRightInd w:val="0"/>
        <w:rPr>
          <w:rFonts w:ascii="Calibri" w:hAnsi="Calibri" w:cs="Calibri"/>
          <w:sz w:val="26"/>
          <w:szCs w:val="26"/>
        </w:rPr>
      </w:pPr>
      <w:r>
        <w:rPr>
          <w:rFonts w:ascii="Calibri" w:hAnsi="Calibri" w:cs="Calibri"/>
          <w:sz w:val="26"/>
          <w:szCs w:val="26"/>
        </w:rPr>
        <w:t>And here’s another interesting article on virtual classes: </w:t>
      </w:r>
      <w:hyperlink r:id="rId8" w:history="1">
        <w:r>
          <w:rPr>
            <w:rFonts w:ascii="Calibri" w:hAnsi="Calibri" w:cs="Calibri"/>
            <w:color w:val="0000E9"/>
            <w:sz w:val="26"/>
            <w:szCs w:val="26"/>
            <w:u w:val="single" w:color="0000E9"/>
          </w:rPr>
          <w:t>http://blog.capterra.com/challenges-of-using-video-conferencing-in-online-courses</w:t>
        </w:r>
      </w:hyperlink>
      <w:r>
        <w:rPr>
          <w:rFonts w:ascii="Calibri" w:hAnsi="Calibri" w:cs="Calibri"/>
          <w:sz w:val="26"/>
          <w:szCs w:val="26"/>
        </w:rPr>
        <w:t>/</w:t>
      </w:r>
    </w:p>
    <w:p w:rsidR="000813A5" w:rsidRDefault="000813A5" w:rsidP="000813A5">
      <w:pPr>
        <w:widowControl w:val="0"/>
        <w:autoSpaceDE w:val="0"/>
        <w:autoSpaceDN w:val="0"/>
        <w:adjustRightInd w:val="0"/>
        <w:jc w:val="center"/>
        <w:rPr>
          <w:rFonts w:ascii="Calibri" w:hAnsi="Calibri" w:cs="Calibri"/>
          <w:sz w:val="28"/>
          <w:szCs w:val="28"/>
        </w:rPr>
      </w:pPr>
    </w:p>
    <w:p w:rsidR="000813A5" w:rsidRDefault="000813A5" w:rsidP="000813A5">
      <w:pPr>
        <w:widowControl w:val="0"/>
        <w:autoSpaceDE w:val="0"/>
        <w:autoSpaceDN w:val="0"/>
        <w:adjustRightInd w:val="0"/>
        <w:jc w:val="center"/>
        <w:rPr>
          <w:rFonts w:ascii="Calibri" w:hAnsi="Calibri" w:cs="Calibri"/>
          <w:sz w:val="28"/>
          <w:szCs w:val="28"/>
        </w:rPr>
      </w:pPr>
    </w:p>
    <w:p w:rsidR="000813A5" w:rsidRDefault="000813A5" w:rsidP="000813A5">
      <w:pPr>
        <w:widowControl w:val="0"/>
        <w:autoSpaceDE w:val="0"/>
        <w:autoSpaceDN w:val="0"/>
        <w:adjustRightInd w:val="0"/>
        <w:jc w:val="center"/>
        <w:rPr>
          <w:rFonts w:ascii="Calibri" w:hAnsi="Calibri" w:cs="Calibri"/>
          <w:b/>
          <w:bCs/>
          <w:sz w:val="28"/>
          <w:szCs w:val="28"/>
        </w:rPr>
      </w:pP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6"/>
          <w:szCs w:val="26"/>
        </w:rPr>
      </w:pPr>
      <w:r>
        <w:rPr>
          <w:rFonts w:ascii="Calibri" w:hAnsi="Calibri" w:cs="Calibri"/>
          <w:b/>
          <w:bCs/>
          <w:sz w:val="26"/>
          <w:szCs w:val="26"/>
        </w:rPr>
        <w:t>Learning Styles Revisited</w:t>
      </w:r>
    </w:p>
    <w:p w:rsidR="000813A5" w:rsidRDefault="000813A5" w:rsidP="000813A5">
      <w:pPr>
        <w:widowControl w:val="0"/>
        <w:autoSpaceDE w:val="0"/>
        <w:autoSpaceDN w:val="0"/>
        <w:adjustRightInd w:val="0"/>
        <w:rPr>
          <w:rFonts w:ascii="Calibri" w:hAnsi="Calibri" w:cs="Calibri"/>
          <w:sz w:val="26"/>
          <w:szCs w:val="26"/>
        </w:rPr>
      </w:pPr>
      <w:r>
        <w:rPr>
          <w:rFonts w:ascii="Calibri" w:hAnsi="Calibri" w:cs="Calibri"/>
          <w:sz w:val="26"/>
          <w:szCs w:val="26"/>
        </w:rPr>
        <w:t xml:space="preserve">Here’s </w:t>
      </w:r>
      <w:proofErr w:type="gramStart"/>
      <w:r>
        <w:rPr>
          <w:rFonts w:ascii="Calibri" w:hAnsi="Calibri" w:cs="Calibri"/>
          <w:sz w:val="26"/>
          <w:szCs w:val="26"/>
        </w:rPr>
        <w:t>a an</w:t>
      </w:r>
      <w:proofErr w:type="gramEnd"/>
      <w:r>
        <w:rPr>
          <w:rFonts w:ascii="Calibri" w:hAnsi="Calibri" w:cs="Calibri"/>
          <w:sz w:val="26"/>
          <w:szCs w:val="26"/>
        </w:rPr>
        <w:t xml:space="preserve"> article that speaks back to the learning styles debate: </w:t>
      </w:r>
      <w:hyperlink r:id="rId9" w:history="1">
        <w:r>
          <w:rPr>
            <w:rFonts w:ascii="Calibri" w:hAnsi="Calibri" w:cs="Calibri"/>
            <w:color w:val="0000E9"/>
            <w:sz w:val="26"/>
            <w:szCs w:val="26"/>
            <w:u w:val="single" w:color="0000E9"/>
          </w:rPr>
          <w:t>http://www.educatorstechnology.com/2013/12/the-myth-of-learning-styles-debunked.html</w:t>
        </w:r>
      </w:hyperlink>
      <w:r>
        <w:rPr>
          <w:rFonts w:ascii="Calibri" w:hAnsi="Calibri" w:cs="Calibri"/>
          <w:sz w:val="26"/>
          <w:szCs w:val="26"/>
        </w:rPr>
        <w:t> </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 xml:space="preserve">And </w:t>
      </w:r>
      <w:proofErr w:type="gramStart"/>
      <w:r>
        <w:rPr>
          <w:rFonts w:ascii="Calibri" w:hAnsi="Calibri" w:cs="Calibri"/>
          <w:sz w:val="28"/>
          <w:szCs w:val="28"/>
        </w:rPr>
        <w:t>an info</w:t>
      </w:r>
      <w:proofErr w:type="gramEnd"/>
      <w:r>
        <w:rPr>
          <w:rFonts w:ascii="Calibri" w:hAnsi="Calibri" w:cs="Calibri"/>
          <w:sz w:val="28"/>
          <w:szCs w:val="28"/>
        </w:rPr>
        <w:t xml:space="preserve"> graphic…</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noProof/>
          <w:sz w:val="28"/>
          <w:szCs w:val="28"/>
        </w:rPr>
        <w:drawing>
          <wp:inline distT="0" distB="0" distL="0" distR="0">
            <wp:extent cx="3939540" cy="16151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9540" cy="16151860"/>
                    </a:xfrm>
                    <a:prstGeom prst="rect">
                      <a:avLst/>
                    </a:prstGeom>
                    <a:noFill/>
                    <a:ln>
                      <a:noFill/>
                    </a:ln>
                  </pic:spPr>
                </pic:pic>
              </a:graphicData>
            </a:graphic>
          </wp:inline>
        </w:drawing>
      </w: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b/>
          <w:bCs/>
          <w:sz w:val="28"/>
          <w:szCs w:val="28"/>
        </w:rPr>
        <w:t xml:space="preserve">Today’s </w:t>
      </w:r>
      <w:proofErr w:type="spellStart"/>
      <w:r>
        <w:rPr>
          <w:rFonts w:ascii="Calibri" w:hAnsi="Calibri" w:cs="Calibri"/>
          <w:b/>
          <w:bCs/>
          <w:sz w:val="28"/>
          <w:szCs w:val="28"/>
        </w:rPr>
        <w:t>BitStrip</w:t>
      </w:r>
      <w:proofErr w:type="spellEnd"/>
    </w:p>
    <w:p w:rsidR="000813A5" w:rsidRDefault="000813A5" w:rsidP="000813A5">
      <w:pPr>
        <w:widowControl w:val="0"/>
        <w:autoSpaceDE w:val="0"/>
        <w:autoSpaceDN w:val="0"/>
        <w:adjustRightInd w:val="0"/>
        <w:rPr>
          <w:rFonts w:ascii="Calibri" w:hAnsi="Calibri" w:cs="Calibri"/>
          <w:sz w:val="28"/>
          <w:szCs w:val="28"/>
        </w:rPr>
      </w:pPr>
      <w:r>
        <w:rPr>
          <w:rFonts w:ascii="Helvetica" w:hAnsi="Helvetica" w:cs="Helvetica"/>
          <w:color w:val="1A1A1A"/>
          <w:sz w:val="28"/>
          <w:szCs w:val="28"/>
        </w:rPr>
        <w:t>The cartoon link is not clickable so you can use this: </w:t>
      </w:r>
      <w:hyperlink r:id="rId11" w:history="1">
        <w:r>
          <w:rPr>
            <w:rFonts w:ascii="Helvetica" w:hAnsi="Helvetica" w:cs="Helvetica"/>
            <w:color w:val="0000E9"/>
            <w:sz w:val="28"/>
            <w:szCs w:val="28"/>
            <w:u w:val="single" w:color="0000E9"/>
          </w:rPr>
          <w:t>http://bit.ly/BU2-factor</w:t>
        </w:r>
      </w:hyperlink>
      <w:r>
        <w:rPr>
          <w:rFonts w:ascii="Helvetica" w:hAnsi="Helvetica" w:cs="Helvetica"/>
          <w:color w:val="1A1A1A"/>
          <w:sz w:val="28"/>
          <w:szCs w:val="28"/>
        </w:rPr>
        <w:t> </w:t>
      </w:r>
    </w:p>
    <w:p w:rsidR="000813A5" w:rsidRDefault="000813A5" w:rsidP="000813A5">
      <w:pPr>
        <w:widowControl w:val="0"/>
        <w:autoSpaceDE w:val="0"/>
        <w:autoSpaceDN w:val="0"/>
        <w:adjustRightInd w:val="0"/>
        <w:rPr>
          <w:rFonts w:ascii="Calibri" w:hAnsi="Calibri" w:cs="Calibri"/>
          <w:sz w:val="28"/>
          <w:szCs w:val="28"/>
        </w:rPr>
      </w:pPr>
      <w:r>
        <w:rPr>
          <w:rFonts w:ascii="Helvetica" w:hAnsi="Helvetica" w:cs="Helvetica"/>
          <w:color w:val="1A1A1A"/>
          <w:sz w:val="28"/>
          <w:szCs w:val="28"/>
        </w:rPr>
        <w:t xml:space="preserve">I’ll be speaking more about 2-factor authentication at Tuesday’s </w:t>
      </w:r>
      <w:proofErr w:type="spellStart"/>
      <w:r>
        <w:rPr>
          <w:rFonts w:ascii="Helvetica" w:hAnsi="Helvetica" w:cs="Helvetica"/>
          <w:color w:val="1A1A1A"/>
          <w:sz w:val="28"/>
          <w:szCs w:val="28"/>
        </w:rPr>
        <w:t>staculty</w:t>
      </w:r>
      <w:proofErr w:type="spellEnd"/>
      <w:r>
        <w:rPr>
          <w:rFonts w:ascii="Helvetica" w:hAnsi="Helvetica" w:cs="Helvetica"/>
          <w:color w:val="1A1A1A"/>
          <w:sz w:val="28"/>
          <w:szCs w:val="28"/>
        </w:rPr>
        <w:t xml:space="preserve"> meeting.</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noProof/>
          <w:sz w:val="28"/>
          <w:szCs w:val="28"/>
        </w:rPr>
        <w:drawing>
          <wp:inline distT="0" distB="0" distL="0" distR="0">
            <wp:extent cx="4811395" cy="2187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1395" cy="2187575"/>
                    </a:xfrm>
                    <a:prstGeom prst="rect">
                      <a:avLst/>
                    </a:prstGeom>
                    <a:noFill/>
                    <a:ln>
                      <a:noFill/>
                    </a:ln>
                  </pic:spPr>
                </pic:pic>
              </a:graphicData>
            </a:graphic>
          </wp:inline>
        </w:drawing>
      </w: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Until next week,</w:t>
      </w:r>
    </w:p>
    <w:p w:rsidR="000813A5" w:rsidRDefault="000813A5" w:rsidP="000813A5">
      <w:pPr>
        <w:widowControl w:val="0"/>
        <w:autoSpaceDE w:val="0"/>
        <w:autoSpaceDN w:val="0"/>
        <w:adjustRightInd w:val="0"/>
        <w:rPr>
          <w:rFonts w:ascii="Calibri" w:hAnsi="Calibri" w:cs="Calibri"/>
          <w:sz w:val="28"/>
          <w:szCs w:val="28"/>
        </w:rPr>
      </w:pP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Jim Heston</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Coordinator of Academic Technology</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Baylor School of Social Work</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One Bear Place #97320</w:t>
      </w:r>
    </w:p>
    <w:p w:rsidR="000813A5" w:rsidRDefault="000813A5" w:rsidP="000813A5">
      <w:pPr>
        <w:widowControl w:val="0"/>
        <w:autoSpaceDE w:val="0"/>
        <w:autoSpaceDN w:val="0"/>
        <w:adjustRightInd w:val="0"/>
        <w:rPr>
          <w:rFonts w:ascii="Calibri" w:hAnsi="Calibri" w:cs="Calibri"/>
          <w:sz w:val="28"/>
          <w:szCs w:val="28"/>
        </w:rPr>
      </w:pPr>
      <w:r>
        <w:rPr>
          <w:rFonts w:ascii="Calibri" w:hAnsi="Calibri" w:cs="Calibri"/>
          <w:sz w:val="28"/>
          <w:szCs w:val="28"/>
        </w:rPr>
        <w:t>Waco, TX 76798-7320</w:t>
      </w:r>
    </w:p>
    <w:p w:rsidR="001E2E9A" w:rsidRDefault="000813A5" w:rsidP="000813A5">
      <w:r>
        <w:rPr>
          <w:rFonts w:ascii="Calibri" w:hAnsi="Calibri" w:cs="Calibri"/>
          <w:sz w:val="28"/>
          <w:szCs w:val="28"/>
        </w:rPr>
        <w:t>(254) 710-6419</w:t>
      </w:r>
    </w:p>
    <w:sectPr w:rsidR="001E2E9A" w:rsidSect="0056292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3A5"/>
    <w:rsid w:val="000813A5"/>
    <w:rsid w:val="001E2E9A"/>
    <w:rsid w:val="00562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3DC6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3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13A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3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13A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it.ly/BU2-factor" TargetMode="External"/><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blog.prezi.com/latest/2014/9/3/what-does-it-really-take-to-reach-the-speaking-worlds-bigges.html?utm_source=whatsnewoct&amp;utm_medium=email&amp;utm_campaign=blog" TargetMode="External"/><Relationship Id="rId7" Type="http://schemas.openxmlformats.org/officeDocument/2006/relationships/hyperlink" Target="http://onlinelearninginsights.wordpress.com/2012/08/06/how-not-to-design-an-online-course" TargetMode="External"/><Relationship Id="rId8" Type="http://schemas.openxmlformats.org/officeDocument/2006/relationships/hyperlink" Target="http://blog.capterra.com/challenges-of-using-video-conferencing-in-online-courses" TargetMode="External"/><Relationship Id="rId9" Type="http://schemas.openxmlformats.org/officeDocument/2006/relationships/hyperlink" Target="http://www.educatorstechnology.com/2013/12/the-myth-of-learning-styles-debunked.html"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542</Words>
  <Characters>3096</Characters>
  <Application>Microsoft Macintosh Word</Application>
  <DocSecurity>0</DocSecurity>
  <Lines>25</Lines>
  <Paragraphs>7</Paragraphs>
  <ScaleCrop>false</ScaleCrop>
  <Company>Baylor University</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Heston</dc:creator>
  <cp:keywords/>
  <dc:description/>
  <cp:lastModifiedBy>Jim Heston</cp:lastModifiedBy>
  <cp:revision>1</cp:revision>
  <dcterms:created xsi:type="dcterms:W3CDTF">2014-11-03T19:26:00Z</dcterms:created>
  <dcterms:modified xsi:type="dcterms:W3CDTF">2014-11-03T19:27:00Z</dcterms:modified>
</cp:coreProperties>
</file>